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sz w:val="24"/>
        </w:rPr>
      </w:pPr>
      <w:r>
        <w:rPr>
          <w:sz w:val="24"/>
        </w:rPr>
        <w:drawing>
          <wp:inline distT="0" distB="0" distL="0" distR="0">
            <wp:extent cx="2857500" cy="685800"/>
            <wp:effectExtent l="0" t="0" r="0" b="0"/>
            <wp:docPr id="6" name="图片 6" descr="校徽镂空-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校徽镂空-0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857500" cy="685800"/>
                    </a:xfrm>
                    <a:prstGeom prst="rect">
                      <a:avLst/>
                    </a:prstGeom>
                    <a:noFill/>
                    <a:ln>
                      <a:noFill/>
                    </a:ln>
                  </pic:spPr>
                </pic:pic>
              </a:graphicData>
            </a:graphic>
          </wp:inline>
        </w:drawing>
      </w:r>
    </w:p>
    <w:p>
      <w:pPr>
        <w:spacing w:line="360" w:lineRule="auto"/>
        <w:rPr>
          <w:rFonts w:ascii="华文新魏" w:hAnsi="仿宋" w:eastAsia="华文新魏"/>
          <w:b/>
          <w:sz w:val="84"/>
          <w:szCs w:val="84"/>
        </w:rPr>
      </w:pPr>
    </w:p>
    <w:p>
      <w:pPr>
        <w:spacing w:line="360" w:lineRule="auto"/>
        <w:jc w:val="center"/>
        <w:rPr>
          <w:rFonts w:ascii="华文新魏" w:hAnsi="仿宋" w:eastAsia="华文新魏"/>
          <w:b/>
          <w:sz w:val="144"/>
          <w:szCs w:val="144"/>
        </w:rPr>
      </w:pPr>
      <w:r>
        <w:rPr>
          <w:rFonts w:hint="eastAsia" w:ascii="华文新魏" w:hAnsi="仿宋" w:eastAsia="华文新魏"/>
          <w:b/>
          <w:sz w:val="144"/>
          <w:szCs w:val="144"/>
        </w:rPr>
        <w:t>课程指南</w:t>
      </w:r>
    </w:p>
    <w:p>
      <w:pPr>
        <w:spacing w:line="360" w:lineRule="auto"/>
        <w:jc w:val="center"/>
        <w:rPr>
          <w:rFonts w:hint="eastAsia" w:ascii="华文新魏" w:hAnsi="仿宋" w:eastAsia="华文新魏"/>
          <w:b/>
          <w:sz w:val="72"/>
          <w:szCs w:val="72"/>
        </w:rPr>
      </w:pPr>
      <w:r>
        <w:rPr>
          <w:rFonts w:hint="eastAsia" w:ascii="华文新魏" w:hAnsi="仿宋" w:eastAsia="华文新魏"/>
          <w:b/>
          <w:sz w:val="72"/>
          <w:szCs w:val="72"/>
        </w:rPr>
        <w:t>《护理法律风险预防</w:t>
      </w:r>
    </w:p>
    <w:p>
      <w:pPr>
        <w:spacing w:line="360" w:lineRule="auto"/>
        <w:jc w:val="center"/>
        <w:rPr>
          <w:rFonts w:ascii="华文新魏" w:hAnsi="仿宋" w:eastAsia="华文新魏"/>
          <w:b/>
          <w:sz w:val="72"/>
          <w:szCs w:val="72"/>
        </w:rPr>
      </w:pPr>
      <w:r>
        <w:rPr>
          <w:rFonts w:hint="eastAsia" w:ascii="华文新魏" w:hAnsi="仿宋" w:eastAsia="华文新魏"/>
          <w:b/>
          <w:sz w:val="72"/>
          <w:szCs w:val="72"/>
        </w:rPr>
        <w:t>与处理》</w:t>
      </w:r>
    </w:p>
    <w:p>
      <w:pPr>
        <w:spacing w:line="360" w:lineRule="auto"/>
        <w:jc w:val="center"/>
        <w:rPr>
          <w:sz w:val="30"/>
        </w:rPr>
      </w:pPr>
      <w:r>
        <w:rPr>
          <w:rFonts w:hint="eastAsia" w:ascii="华文新魏" w:hAnsi="仿宋" w:eastAsia="华文新魏"/>
          <w:b/>
          <w:sz w:val="30"/>
          <w:szCs w:val="30"/>
        </w:rPr>
        <w:t>供护理学专业学生使用</w:t>
      </w: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rPr>
          <w:rFonts w:ascii="黑体" w:hAnsi="黑体" w:eastAsia="黑体"/>
          <w:sz w:val="44"/>
          <w:szCs w:val="44"/>
        </w:rPr>
      </w:pPr>
    </w:p>
    <w:p>
      <w:pPr>
        <w:spacing w:line="360" w:lineRule="auto"/>
        <w:jc w:val="center"/>
        <w:rPr>
          <w:rFonts w:ascii="楷体" w:hAnsi="楷体" w:eastAsia="楷体"/>
          <w:b/>
          <w:sz w:val="44"/>
          <w:szCs w:val="44"/>
        </w:rPr>
      </w:pPr>
      <w:r>
        <w:rPr>
          <w:rFonts w:hint="eastAsia" w:ascii="楷体" w:hAnsi="楷体" w:eastAsia="楷体"/>
          <w:b/>
          <w:sz w:val="44"/>
          <w:szCs w:val="44"/>
        </w:rPr>
        <w:t>开课单位：医学人文</w:t>
      </w:r>
      <w:r>
        <w:rPr>
          <w:rFonts w:ascii="楷体" w:hAnsi="楷体" w:eastAsia="楷体"/>
          <w:b/>
          <w:sz w:val="44"/>
          <w:szCs w:val="44"/>
        </w:rPr>
        <w:t>学院</w:t>
      </w:r>
    </w:p>
    <w:p>
      <w:pPr>
        <w:spacing w:line="360" w:lineRule="auto"/>
        <w:jc w:val="center"/>
        <w:rPr>
          <w:rFonts w:ascii="宋体" w:hAnsi="宋体"/>
          <w:b/>
          <w:sz w:val="28"/>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titlePg/>
          <w:docGrid w:type="lines" w:linePitch="312" w:charSpace="0"/>
        </w:sectPr>
      </w:pPr>
      <w:r>
        <w:rPr>
          <w:rFonts w:hint="eastAsia" w:ascii="楷体" w:hAnsi="楷体" w:eastAsia="楷体"/>
          <w:b/>
          <w:sz w:val="44"/>
          <w:szCs w:val="44"/>
        </w:rPr>
        <w:t>二零二四年</w:t>
      </w:r>
    </w:p>
    <w:p>
      <w:pPr>
        <w:spacing w:line="360" w:lineRule="auto"/>
        <w:jc w:val="center"/>
        <w:rPr>
          <w:b/>
          <w:sz w:val="28"/>
        </w:rPr>
      </w:pPr>
      <w:r>
        <w:rPr>
          <w:rFonts w:hint="eastAsia" w:ascii="宋体" w:hAnsi="宋体"/>
          <w:b/>
          <w:sz w:val="28"/>
          <w:u w:val="single"/>
        </w:rPr>
        <w:t>__护理法律风险预防与处理__</w:t>
      </w:r>
      <w:r>
        <w:rPr>
          <w:rFonts w:hint="eastAsia"/>
          <w:b/>
          <w:sz w:val="28"/>
        </w:rPr>
        <w:t xml:space="preserve">课 程 指 南 </w:t>
      </w:r>
    </w:p>
    <w:p>
      <w:pPr>
        <w:spacing w:line="360" w:lineRule="auto"/>
        <w:jc w:val="center"/>
        <w:rPr>
          <w:b/>
          <w:sz w:val="28"/>
        </w:rPr>
      </w:pP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szCs w:val="21"/>
        </w:rPr>
      </w:pPr>
      <w:r>
        <w:rPr>
          <w:rFonts w:hint="eastAsia"/>
          <w:b/>
          <w:szCs w:val="21"/>
        </w:rPr>
        <w:t>一、课程信息 课程编号：</w:t>
      </w:r>
      <w:r>
        <w:rPr>
          <w:rFonts w:hint="eastAsia"/>
          <w:szCs w:val="21"/>
        </w:rPr>
        <w:t xml:space="preserve">  Z2109005004</w:t>
      </w:r>
    </w:p>
    <w:p>
      <w:pPr>
        <w:keepNext w:val="0"/>
        <w:keepLines w:val="0"/>
        <w:pageBreakBefore w:val="0"/>
        <w:widowControl w:val="0"/>
        <w:kinsoku/>
        <w:wordWrap/>
        <w:overflowPunct/>
        <w:topLinePunct w:val="0"/>
        <w:autoSpaceDE/>
        <w:autoSpaceDN/>
        <w:bidi w:val="0"/>
        <w:adjustRightInd/>
        <w:snapToGrid/>
        <w:spacing w:line="360" w:lineRule="auto"/>
        <w:ind w:firstLine="843" w:firstLineChars="400"/>
        <w:textAlignment w:val="auto"/>
        <w:rPr>
          <w:bCs/>
          <w:szCs w:val="21"/>
        </w:rPr>
      </w:pPr>
      <w:r>
        <w:rPr>
          <w:rFonts w:hint="eastAsia"/>
          <w:b/>
          <w:szCs w:val="21"/>
        </w:rPr>
        <w:t>中文：</w:t>
      </w:r>
      <w:r>
        <w:rPr>
          <w:rFonts w:hint="eastAsia" w:ascii="宋体" w:hAnsi="宋体" w:cs="宋体"/>
          <w:bCs/>
          <w:szCs w:val="21"/>
        </w:rPr>
        <w:t>护理法律风险预防与处理</w:t>
      </w:r>
      <w:r>
        <w:rPr>
          <w:rFonts w:hint="eastAsia" w:ascii="宋体" w:hAnsi="宋体" w:cs="宋体"/>
          <w:bCs/>
          <w:szCs w:val="21"/>
          <w:lang w:val="en-US" w:eastAsia="zh-CN"/>
        </w:rPr>
        <w:t xml:space="preserve">     </w:t>
      </w:r>
      <w:r>
        <w:rPr>
          <w:rFonts w:hint="eastAsia"/>
          <w:b/>
          <w:szCs w:val="21"/>
        </w:rPr>
        <w:t xml:space="preserve">英文： </w:t>
      </w:r>
      <w:r>
        <w:rPr>
          <w:rFonts w:hint="eastAsia"/>
          <w:bCs/>
          <w:szCs w:val="21"/>
        </w:rPr>
        <w:t>Legal Risk and Handle of Nursing</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szCs w:val="21"/>
        </w:rPr>
      </w:pPr>
      <w:r>
        <w:rPr>
          <w:rFonts w:hint="eastAsia"/>
          <w:b/>
          <w:szCs w:val="21"/>
          <w:lang w:val="en-US" w:eastAsia="zh-CN"/>
        </w:rPr>
        <w:t>二、</w:t>
      </w:r>
      <w:r>
        <w:rPr>
          <w:rFonts w:hint="eastAsia"/>
          <w:b/>
          <w:szCs w:val="21"/>
        </w:rPr>
        <w:t>开课学院（系）、</w:t>
      </w:r>
      <w:r>
        <w:rPr>
          <w:rFonts w:hint="eastAsia"/>
          <w:b/>
        </w:rPr>
        <w:t>系（教研室）</w:t>
      </w:r>
      <w:r>
        <w:rPr>
          <w:rFonts w:hint="eastAsia"/>
          <w:b/>
          <w:szCs w:val="21"/>
        </w:rPr>
        <w:t>：</w:t>
      </w:r>
      <w:r>
        <w:rPr>
          <w:rFonts w:hint="eastAsia"/>
          <w:szCs w:val="21"/>
        </w:rPr>
        <w:t>医学人文学院医学伦理与法学系医学</w:t>
      </w:r>
      <w:r>
        <w:rPr>
          <w:rFonts w:hint="eastAsia"/>
          <w:szCs w:val="21"/>
          <w:lang w:val="en-US" w:eastAsia="zh-CN"/>
        </w:rPr>
        <w:t>法</w:t>
      </w:r>
      <w:r>
        <w:rPr>
          <w:rFonts w:hint="eastAsia"/>
          <w:szCs w:val="21"/>
        </w:rPr>
        <w:t>学教研室</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b/>
        </w:rPr>
      </w:pPr>
      <w:r>
        <w:rPr>
          <w:rFonts w:hint="eastAsia"/>
          <w:b/>
          <w:szCs w:val="21"/>
        </w:rPr>
        <w:t>三、学时学分：</w:t>
      </w:r>
      <w:r>
        <w:rPr>
          <w:rFonts w:hint="eastAsia"/>
          <w:b/>
        </w:rPr>
        <w:t>学分：1； 总学时：1； 理论学时：16；实验或实践学时：0；自主学习学时：0</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szCs w:val="21"/>
        </w:rPr>
      </w:pPr>
      <w:r>
        <w:rPr>
          <w:rFonts w:hint="eastAsia"/>
          <w:b/>
          <w:szCs w:val="21"/>
        </w:rPr>
        <w:t>四、</w:t>
      </w:r>
      <w:r>
        <w:rPr>
          <w:rFonts w:hint="eastAsia"/>
          <w:b/>
        </w:rPr>
        <w:t>授课对象： 护理学</w:t>
      </w:r>
      <w:r>
        <w:rPr>
          <w:rFonts w:hint="eastAsia"/>
          <w:b/>
          <w:lang w:eastAsia="zh-CN"/>
        </w:rPr>
        <w:t>、</w:t>
      </w:r>
      <w:r>
        <w:rPr>
          <w:rFonts w:hint="eastAsia"/>
          <w:b/>
          <w:lang w:val="en-US" w:eastAsia="zh-CN"/>
        </w:rPr>
        <w:t>护理学（助产方向）</w:t>
      </w:r>
      <w:r>
        <w:rPr>
          <w:rFonts w:hint="eastAsia"/>
          <w:b/>
        </w:rPr>
        <w:t>专业</w:t>
      </w:r>
    </w:p>
    <w:p>
      <w:pPr>
        <w:spacing w:line="360" w:lineRule="auto"/>
        <w:rPr>
          <w:b/>
          <w:szCs w:val="21"/>
        </w:rPr>
      </w:pPr>
      <w:r>
        <w:rPr>
          <w:rFonts w:hint="eastAsia"/>
          <w:b/>
          <w:szCs w:val="21"/>
        </w:rPr>
        <w:t xml:space="preserve">   </w:t>
      </w:r>
      <w:r>
        <w:rPr>
          <w:rFonts w:hint="eastAsia"/>
          <w:b/>
          <w:szCs w:val="21"/>
          <w:lang w:val="en-US" w:eastAsia="zh-CN"/>
        </w:rPr>
        <w:t xml:space="preserve"> </w:t>
      </w:r>
      <w:r>
        <w:rPr>
          <w:rFonts w:hint="eastAsia"/>
          <w:b/>
          <w:szCs w:val="21"/>
        </w:rPr>
        <w:t>五、课程基本内容简介</w:t>
      </w:r>
      <w:bookmarkStart w:id="2" w:name="_GoBack"/>
      <w:bookmarkEnd w:id="2"/>
    </w:p>
    <w:p>
      <w:pPr>
        <w:spacing w:line="360" w:lineRule="auto"/>
        <w:rPr>
          <w:bCs/>
          <w:szCs w:val="21"/>
        </w:rPr>
      </w:pPr>
      <w:r>
        <w:rPr>
          <w:rFonts w:hint="eastAsia"/>
          <w:bCs/>
          <w:szCs w:val="21"/>
        </w:rPr>
        <w:t xml:space="preserve"> </w:t>
      </w:r>
      <w:r>
        <w:rPr>
          <w:rFonts w:hint="eastAsia"/>
          <w:bCs/>
          <w:szCs w:val="21"/>
          <w:lang w:val="en-US" w:eastAsia="zh-CN"/>
        </w:rPr>
        <w:t xml:space="preserve">   </w:t>
      </w:r>
      <w:r>
        <w:rPr>
          <w:rFonts w:hint="eastAsia"/>
          <w:bCs/>
          <w:szCs w:val="21"/>
        </w:rPr>
        <w:t>在临床医疗护理活动中，护理纠纷、护理事故等现象时有发生。如何在工作中提高护理风险意识，建立较强的法律意识，避免护理纠纷的发生已成为当前医护工作者需要迫切解决的问题。这就要求护理人员增强法律意识，规范护理行为，学会用法律维护患者和自己的合法权益。因此将护理法律风险的预防和处理教育纳入护理专业学生素质教育体系，十分必要。</w:t>
      </w:r>
    </w:p>
    <w:p>
      <w:pPr>
        <w:spacing w:line="360" w:lineRule="auto"/>
        <w:rPr>
          <w:bCs/>
          <w:szCs w:val="21"/>
        </w:rPr>
      </w:pPr>
      <w:r>
        <w:rPr>
          <w:rFonts w:hint="eastAsia"/>
          <w:bCs/>
          <w:szCs w:val="21"/>
        </w:rPr>
        <w:t>本课程依据我国《护士条例》《民法典》《医疗事故处理条例》等医疗法律规范，主要针对临床护理法律风险问题，通过临床护理法律风险案例，讲授以下主要内容：卫生法学及医事法学基础理论；护患关系法律制度及护士与患者权利义务；护士执业资格与执业规则；临床护理注意义务与护理过失的认定；护理与病人安全管理策略以及内、外、妇、儿、急救输血等临床基础、专科和特殊护理中的相关法律及护理文书书写的法律问题；护理教育和护理科研中的法律问题；护理医疗损害责任与免责、护理医疗纠纷的预防与处理等。</w:t>
      </w:r>
    </w:p>
    <w:p>
      <w:pPr>
        <w:spacing w:line="360" w:lineRule="auto"/>
        <w:rPr>
          <w:b/>
        </w:rPr>
      </w:pPr>
      <w:r>
        <w:rPr>
          <w:rFonts w:hint="eastAsia"/>
          <w:b/>
          <w:szCs w:val="21"/>
        </w:rPr>
        <w:t xml:space="preserve">    六、</w:t>
      </w:r>
      <w:r>
        <w:rPr>
          <w:rFonts w:hint="eastAsia"/>
          <w:b/>
        </w:rPr>
        <w:t>教学目标</w:t>
      </w:r>
    </w:p>
    <w:p>
      <w:pPr>
        <w:spacing w:line="360" w:lineRule="auto"/>
        <w:rPr>
          <w:b/>
          <w:szCs w:val="21"/>
        </w:rPr>
      </w:pPr>
      <w:r>
        <w:rPr>
          <w:rFonts w:hint="eastAsia"/>
          <w:b/>
          <w:szCs w:val="21"/>
        </w:rPr>
        <w:t xml:space="preserve">    1.知识学习目标</w:t>
      </w:r>
    </w:p>
    <w:p>
      <w:pPr>
        <w:spacing w:line="360" w:lineRule="auto"/>
        <w:ind w:firstLine="420" w:firstLineChars="200"/>
        <w:rPr>
          <w:b/>
          <w:szCs w:val="21"/>
        </w:rPr>
      </w:pPr>
      <w:r>
        <w:rPr>
          <w:rFonts w:hint="eastAsia"/>
          <w:szCs w:val="21"/>
        </w:rPr>
        <w:t>通过本课程的学习，以培养护理专业学生的法律意识和素养，增强社会主义法治观念，力求使医学生在将来的执业活动中树立依法行医的意识，学会运用学会利用法律保护自己的权利，同时维护患者的合法利益，最终实现避免纠纷和善于解决纠纷的目的。</w:t>
      </w:r>
    </w:p>
    <w:p>
      <w:pPr>
        <w:spacing w:line="360" w:lineRule="auto"/>
        <w:rPr>
          <w:b/>
          <w:szCs w:val="21"/>
        </w:rPr>
      </w:pPr>
      <w:r>
        <w:rPr>
          <w:rFonts w:hint="eastAsia"/>
          <w:b/>
          <w:szCs w:val="21"/>
        </w:rPr>
        <w:t xml:space="preserve">    2.技能学习目标</w:t>
      </w:r>
    </w:p>
    <w:p>
      <w:pPr>
        <w:spacing w:line="360" w:lineRule="auto"/>
        <w:ind w:firstLine="420" w:firstLineChars="200"/>
        <w:rPr>
          <w:rFonts w:hint="eastAsia"/>
          <w:szCs w:val="21"/>
        </w:rPr>
      </w:pPr>
      <w:r>
        <w:rPr>
          <w:rFonts w:hint="eastAsia"/>
          <w:szCs w:val="21"/>
        </w:rPr>
        <w:t>培养护理专业学生的法律意识和素养，增强社会主义法治观念，力求使护理专业学生在将来的执业活动中树立依法行医的意识，学会利用法律保护自己的权利，同时维护患者的合法利益。学会通过实施护理行为来构建良好的护患关系，增强爱专业、学技术的积极性和以人民为中心，全心全意服务患者，建立良好护患关系的信心。教学思路主张开放性、问题性和启发性思考，以临床护理环境中所遇到的法律问题为切入点引导学生分析和交流。通过引导式的教学方法培养学生的对临床护理纠纷案例分析能力和处理能力。</w:t>
      </w:r>
    </w:p>
    <w:p>
      <w:pPr>
        <w:spacing w:line="360" w:lineRule="auto"/>
        <w:ind w:firstLine="422" w:firstLineChars="200"/>
        <w:rPr>
          <w:szCs w:val="21"/>
        </w:rPr>
      </w:pPr>
      <w:r>
        <w:rPr>
          <w:rFonts w:hint="eastAsia"/>
          <w:b/>
          <w:szCs w:val="21"/>
        </w:rPr>
        <w:t>3.思政目标</w:t>
      </w:r>
    </w:p>
    <w:tbl>
      <w:tblPr>
        <w:tblStyle w:val="5"/>
        <w:tblpPr w:leftFromText="180" w:rightFromText="180" w:vertAnchor="text" w:tblpXSpec="center" w:tblpY="1"/>
        <w:tblOverlap w:val="never"/>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701"/>
        <w:gridCol w:w="2268"/>
        <w:gridCol w:w="170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tcPr>
          <w:p>
            <w:pPr>
              <w:spacing w:line="288" w:lineRule="auto"/>
              <w:jc w:val="center"/>
              <w:rPr>
                <w:b/>
              </w:rPr>
            </w:pPr>
            <w:r>
              <w:rPr>
                <w:rFonts w:hint="eastAsia"/>
                <w:b/>
              </w:rPr>
              <w:t>序号</w:t>
            </w:r>
          </w:p>
        </w:tc>
        <w:tc>
          <w:tcPr>
            <w:tcW w:w="1701" w:type="dxa"/>
            <w:noWrap/>
          </w:tcPr>
          <w:p>
            <w:pPr>
              <w:spacing w:line="288" w:lineRule="auto"/>
              <w:jc w:val="center"/>
              <w:rPr>
                <w:b/>
              </w:rPr>
            </w:pPr>
            <w:r>
              <w:rPr>
                <w:rFonts w:hint="eastAsia"/>
                <w:b/>
              </w:rPr>
              <w:t>融入章节</w:t>
            </w:r>
          </w:p>
        </w:tc>
        <w:tc>
          <w:tcPr>
            <w:tcW w:w="2268" w:type="dxa"/>
            <w:noWrap/>
          </w:tcPr>
          <w:p>
            <w:pPr>
              <w:spacing w:line="288" w:lineRule="auto"/>
              <w:jc w:val="center"/>
              <w:rPr>
                <w:b/>
              </w:rPr>
            </w:pPr>
            <w:r>
              <w:rPr>
                <w:rFonts w:hint="eastAsia"/>
                <w:b/>
              </w:rPr>
              <w:t>融入专业知识点</w:t>
            </w:r>
          </w:p>
        </w:tc>
        <w:tc>
          <w:tcPr>
            <w:tcW w:w="1701" w:type="dxa"/>
            <w:noWrap/>
          </w:tcPr>
          <w:p>
            <w:pPr>
              <w:spacing w:line="288" w:lineRule="auto"/>
              <w:jc w:val="center"/>
              <w:rPr>
                <w:b/>
              </w:rPr>
            </w:pPr>
            <w:r>
              <w:rPr>
                <w:rFonts w:hint="eastAsia"/>
                <w:b/>
              </w:rPr>
              <w:t>思政元素点</w:t>
            </w:r>
          </w:p>
        </w:tc>
        <w:tc>
          <w:tcPr>
            <w:tcW w:w="2126" w:type="dxa"/>
            <w:noWrap/>
          </w:tcPr>
          <w:p>
            <w:pPr>
              <w:spacing w:line="288" w:lineRule="auto"/>
              <w:jc w:val="center"/>
              <w:rPr>
                <w:b/>
              </w:rPr>
            </w:pPr>
            <w:r>
              <w:rPr>
                <w:rFonts w:hint="eastAsia"/>
                <w:b/>
              </w:rPr>
              <w:t>思政目标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9" w:hRule="atLeast"/>
        </w:trPr>
        <w:tc>
          <w:tcPr>
            <w:tcW w:w="959" w:type="dxa"/>
            <w:noWrap/>
            <w:vAlign w:val="center"/>
          </w:tcPr>
          <w:p>
            <w:pPr>
              <w:spacing w:line="288" w:lineRule="auto"/>
              <w:jc w:val="center"/>
              <w:rPr>
                <w:b/>
              </w:rPr>
            </w:pPr>
            <w:r>
              <w:rPr>
                <w:rFonts w:hint="eastAsia"/>
                <w:b/>
              </w:rPr>
              <w:t>1</w:t>
            </w:r>
          </w:p>
        </w:tc>
        <w:tc>
          <w:tcPr>
            <w:tcW w:w="1701" w:type="dxa"/>
            <w:noWrap/>
          </w:tcPr>
          <w:p>
            <w:pPr>
              <w:spacing w:line="288" w:lineRule="auto"/>
              <w:rPr>
                <w:b w:val="0"/>
                <w:bCs/>
              </w:rPr>
            </w:pPr>
            <w:r>
              <w:rPr>
                <w:rFonts w:hint="eastAsia"/>
                <w:b w:val="0"/>
                <w:bCs/>
              </w:rPr>
              <w:t>第一章第二节、第三节</w:t>
            </w:r>
          </w:p>
          <w:p>
            <w:pPr>
              <w:spacing w:line="288" w:lineRule="auto"/>
              <w:rPr>
                <w:b w:val="0"/>
                <w:bCs/>
              </w:rPr>
            </w:pPr>
          </w:p>
          <w:p>
            <w:pPr>
              <w:spacing w:line="288" w:lineRule="auto"/>
              <w:rPr>
                <w:b w:val="0"/>
                <w:bCs/>
              </w:rPr>
            </w:pPr>
          </w:p>
          <w:p>
            <w:pPr>
              <w:spacing w:line="288" w:lineRule="auto"/>
              <w:rPr>
                <w:b w:val="0"/>
                <w:bCs/>
              </w:rPr>
            </w:pPr>
          </w:p>
          <w:p>
            <w:pPr>
              <w:spacing w:line="288" w:lineRule="auto"/>
              <w:rPr>
                <w:b w:val="0"/>
                <w:bCs/>
              </w:rPr>
            </w:pPr>
            <w:r>
              <w:rPr>
                <w:rFonts w:hint="eastAsia"/>
                <w:b w:val="0"/>
                <w:bCs/>
              </w:rPr>
              <w:t>第二章第四节</w:t>
            </w:r>
          </w:p>
        </w:tc>
        <w:tc>
          <w:tcPr>
            <w:tcW w:w="2268" w:type="dxa"/>
            <w:noWrap/>
          </w:tcPr>
          <w:p>
            <w:pPr>
              <w:spacing w:line="288" w:lineRule="auto"/>
              <w:rPr>
                <w:b w:val="0"/>
                <w:bCs/>
              </w:rPr>
            </w:pPr>
            <w:r>
              <w:rPr>
                <w:rFonts w:hint="eastAsia"/>
                <w:b w:val="0"/>
                <w:bCs/>
              </w:rPr>
              <w:t>卫生法学的基本原则；研究学习卫生法律的意义</w:t>
            </w:r>
          </w:p>
          <w:p>
            <w:pPr>
              <w:spacing w:line="288" w:lineRule="auto"/>
              <w:rPr>
                <w:b w:val="0"/>
                <w:bCs/>
              </w:rPr>
            </w:pPr>
          </w:p>
          <w:p>
            <w:pPr>
              <w:spacing w:line="288" w:lineRule="auto"/>
              <w:rPr>
                <w:b w:val="0"/>
                <w:bCs/>
              </w:rPr>
            </w:pPr>
          </w:p>
          <w:p>
            <w:pPr>
              <w:spacing w:line="288" w:lineRule="auto"/>
              <w:rPr>
                <w:b w:val="0"/>
                <w:bCs/>
              </w:rPr>
            </w:pPr>
            <w:r>
              <w:rPr>
                <w:b w:val="0"/>
                <w:bCs/>
              </w:rPr>
              <w:t>健康管理相关法律法规</w:t>
            </w:r>
          </w:p>
        </w:tc>
        <w:tc>
          <w:tcPr>
            <w:tcW w:w="1701" w:type="dxa"/>
            <w:noWrap/>
          </w:tcPr>
          <w:p>
            <w:pPr>
              <w:spacing w:line="288" w:lineRule="auto"/>
              <w:rPr>
                <w:b w:val="0"/>
                <w:bCs/>
                <w:color w:val="0D0D0D"/>
                <w:szCs w:val="21"/>
              </w:rPr>
            </w:pPr>
            <w:r>
              <w:rPr>
                <w:rFonts w:hint="eastAsia"/>
                <w:b w:val="0"/>
                <w:bCs/>
                <w:color w:val="0D0D0D"/>
                <w:szCs w:val="21"/>
              </w:rPr>
              <w:t>习近平总书记对卫生法治的论述和观点</w:t>
            </w:r>
          </w:p>
          <w:p>
            <w:pPr>
              <w:spacing w:line="288" w:lineRule="auto"/>
              <w:rPr>
                <w:b w:val="0"/>
                <w:bCs/>
              </w:rPr>
            </w:pPr>
            <w:r>
              <w:rPr>
                <w:rFonts w:hint="eastAsia"/>
                <w:b w:val="0"/>
                <w:bCs/>
              </w:rPr>
              <w:t>“健康中国”国家战略，推进健康中国建设</w:t>
            </w:r>
          </w:p>
          <w:p>
            <w:pPr>
              <w:spacing w:line="288" w:lineRule="auto"/>
              <w:rPr>
                <w:b w:val="0"/>
                <w:bCs/>
              </w:rPr>
            </w:pPr>
            <w:r>
              <w:rPr>
                <w:rFonts w:hint="eastAsia"/>
                <w:b w:val="0"/>
                <w:bCs/>
              </w:rPr>
              <w:t>坚持人民至上、生命至上</w:t>
            </w:r>
          </w:p>
          <w:p>
            <w:pPr>
              <w:spacing w:line="288" w:lineRule="auto"/>
              <w:rPr>
                <w:b w:val="0"/>
                <w:bCs/>
              </w:rPr>
            </w:pPr>
            <w:r>
              <w:rPr>
                <w:rFonts w:hint="eastAsia"/>
                <w:b w:val="0"/>
                <w:bCs/>
              </w:rPr>
              <w:t>把保障人民健康放在优先发展的战略位置，完善人民健康促进政策。</w:t>
            </w:r>
          </w:p>
        </w:tc>
        <w:tc>
          <w:tcPr>
            <w:tcW w:w="2126" w:type="dxa"/>
            <w:noWrap/>
          </w:tcPr>
          <w:p>
            <w:pPr>
              <w:spacing w:line="288" w:lineRule="auto"/>
              <w:rPr>
                <w:b w:val="0"/>
                <w:bCs/>
              </w:rPr>
            </w:pPr>
            <w:r>
              <w:rPr>
                <w:rFonts w:hint="eastAsia"/>
                <w:b w:val="0"/>
                <w:bCs/>
              </w:rPr>
              <w:t>领会二十大报告精神，结合卫生法的基本原则的学习，正确理解坚持以人民为中心的发展思想。</w:t>
            </w:r>
          </w:p>
          <w:p>
            <w:pPr>
              <w:spacing w:line="288" w:lineRule="auto"/>
              <w:rPr>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ign w:val="center"/>
          </w:tcPr>
          <w:p>
            <w:pPr>
              <w:spacing w:line="288" w:lineRule="auto"/>
              <w:jc w:val="center"/>
              <w:rPr>
                <w:b/>
              </w:rPr>
            </w:pPr>
            <w:r>
              <w:rPr>
                <w:rFonts w:hint="eastAsia"/>
                <w:b/>
              </w:rPr>
              <w:t>2</w:t>
            </w:r>
          </w:p>
        </w:tc>
        <w:tc>
          <w:tcPr>
            <w:tcW w:w="1701" w:type="dxa"/>
            <w:noWrap/>
          </w:tcPr>
          <w:p>
            <w:pPr>
              <w:spacing w:line="288" w:lineRule="auto"/>
              <w:rPr>
                <w:b w:val="0"/>
                <w:bCs/>
              </w:rPr>
            </w:pPr>
            <w:r>
              <w:rPr>
                <w:rFonts w:hint="eastAsia"/>
                <w:b w:val="0"/>
                <w:bCs/>
              </w:rPr>
              <w:t>第二章第二节</w:t>
            </w:r>
          </w:p>
        </w:tc>
        <w:tc>
          <w:tcPr>
            <w:tcW w:w="2268" w:type="dxa"/>
            <w:noWrap/>
          </w:tcPr>
          <w:p>
            <w:pPr>
              <w:spacing w:line="288" w:lineRule="auto"/>
              <w:rPr>
                <w:b w:val="0"/>
                <w:bCs/>
              </w:rPr>
            </w:pPr>
            <w:r>
              <w:rPr>
                <w:rFonts w:hint="eastAsia"/>
                <w:b w:val="0"/>
                <w:bCs/>
              </w:rPr>
              <w:t>护士的执业权利和义务</w:t>
            </w:r>
          </w:p>
          <w:p>
            <w:pPr>
              <w:spacing w:line="288" w:lineRule="auto"/>
              <w:rPr>
                <w:b w:val="0"/>
                <w:bCs/>
              </w:rPr>
            </w:pPr>
          </w:p>
        </w:tc>
        <w:tc>
          <w:tcPr>
            <w:tcW w:w="1701" w:type="dxa"/>
            <w:noWrap/>
          </w:tcPr>
          <w:p>
            <w:pPr>
              <w:spacing w:line="288" w:lineRule="auto"/>
              <w:rPr>
                <w:b w:val="0"/>
                <w:bCs/>
              </w:rPr>
            </w:pPr>
            <w:r>
              <w:rPr>
                <w:rFonts w:hint="eastAsia"/>
                <w:b w:val="0"/>
                <w:bCs/>
              </w:rPr>
              <w:t>坚持人民至上、生命至上</w:t>
            </w:r>
          </w:p>
          <w:p>
            <w:pPr>
              <w:spacing w:line="288" w:lineRule="auto"/>
              <w:rPr>
                <w:b w:val="0"/>
                <w:bCs/>
              </w:rPr>
            </w:pPr>
            <w:r>
              <w:rPr>
                <w:rFonts w:hint="eastAsia"/>
                <w:b w:val="0"/>
                <w:bCs/>
              </w:rPr>
              <w:t>坚持依法治国和以德治国相结合，把社会主义核心价值观融入法治建设、融入社会发展、融入日常生活。</w:t>
            </w:r>
          </w:p>
        </w:tc>
        <w:tc>
          <w:tcPr>
            <w:tcW w:w="2126" w:type="dxa"/>
            <w:noWrap/>
          </w:tcPr>
          <w:p>
            <w:pPr>
              <w:spacing w:line="288" w:lineRule="auto"/>
              <w:rPr>
                <w:b w:val="0"/>
                <w:bCs/>
              </w:rPr>
            </w:pPr>
            <w:r>
              <w:rPr>
                <w:rFonts w:hint="eastAsia"/>
                <w:b w:val="0"/>
                <w:bCs/>
              </w:rPr>
              <w:t>结合护士条例等法律法规的学习，理解我国坚持全面依法治国的重大意义，领会以法治的力量为白衣天使保驾护航。</w:t>
            </w:r>
          </w:p>
          <w:p>
            <w:pPr>
              <w:spacing w:line="288" w:lineRule="auto"/>
              <w:rPr>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ign w:val="center"/>
          </w:tcPr>
          <w:p>
            <w:pPr>
              <w:spacing w:line="288" w:lineRule="auto"/>
              <w:jc w:val="center"/>
              <w:rPr>
                <w:b/>
              </w:rPr>
            </w:pPr>
            <w:r>
              <w:rPr>
                <w:rFonts w:hint="eastAsia"/>
                <w:b/>
              </w:rPr>
              <w:t>3</w:t>
            </w:r>
          </w:p>
        </w:tc>
        <w:tc>
          <w:tcPr>
            <w:tcW w:w="1701" w:type="dxa"/>
            <w:noWrap/>
          </w:tcPr>
          <w:p>
            <w:pPr>
              <w:spacing w:line="288" w:lineRule="auto"/>
              <w:rPr>
                <w:b w:val="0"/>
                <w:bCs/>
              </w:rPr>
            </w:pPr>
            <w:r>
              <w:rPr>
                <w:rFonts w:hint="eastAsia"/>
                <w:b w:val="0"/>
                <w:bCs/>
              </w:rPr>
              <w:t>第二章第三节</w:t>
            </w:r>
          </w:p>
          <w:p>
            <w:pPr>
              <w:spacing w:line="288" w:lineRule="auto"/>
              <w:rPr>
                <w:b w:val="0"/>
                <w:bCs/>
              </w:rPr>
            </w:pPr>
          </w:p>
          <w:p>
            <w:pPr>
              <w:spacing w:line="288" w:lineRule="auto"/>
              <w:rPr>
                <w:b w:val="0"/>
                <w:bCs/>
              </w:rPr>
            </w:pPr>
            <w:r>
              <w:rPr>
                <w:rFonts w:hint="eastAsia"/>
                <w:b w:val="0"/>
                <w:bCs/>
              </w:rPr>
              <w:t>第三章第二节</w:t>
            </w:r>
          </w:p>
          <w:p>
            <w:pPr>
              <w:spacing w:line="288" w:lineRule="auto"/>
              <w:rPr>
                <w:b w:val="0"/>
                <w:bCs/>
              </w:rPr>
            </w:pPr>
          </w:p>
          <w:p>
            <w:pPr>
              <w:spacing w:line="288" w:lineRule="auto"/>
              <w:rPr>
                <w:b w:val="0"/>
                <w:bCs/>
              </w:rPr>
            </w:pPr>
          </w:p>
          <w:p>
            <w:pPr>
              <w:spacing w:line="288" w:lineRule="auto"/>
              <w:rPr>
                <w:b w:val="0"/>
                <w:bCs/>
              </w:rPr>
            </w:pPr>
            <w:r>
              <w:rPr>
                <w:rFonts w:hint="eastAsia"/>
                <w:b w:val="0"/>
                <w:bCs/>
              </w:rPr>
              <w:t>第四章第二节、第三节</w:t>
            </w:r>
          </w:p>
        </w:tc>
        <w:tc>
          <w:tcPr>
            <w:tcW w:w="2268" w:type="dxa"/>
            <w:noWrap/>
          </w:tcPr>
          <w:p>
            <w:pPr>
              <w:spacing w:line="288" w:lineRule="auto"/>
              <w:rPr>
                <w:b w:val="0"/>
                <w:bCs/>
              </w:rPr>
            </w:pPr>
            <w:r>
              <w:rPr>
                <w:rFonts w:hint="eastAsia"/>
                <w:b w:val="0"/>
                <w:bCs/>
              </w:rPr>
              <w:t>医疗核心制度</w:t>
            </w:r>
          </w:p>
          <w:p>
            <w:pPr>
              <w:spacing w:line="288" w:lineRule="auto"/>
              <w:rPr>
                <w:b w:val="0"/>
                <w:bCs/>
              </w:rPr>
            </w:pPr>
          </w:p>
          <w:p>
            <w:pPr>
              <w:spacing w:line="288" w:lineRule="auto"/>
              <w:rPr>
                <w:b w:val="0"/>
                <w:bCs/>
              </w:rPr>
            </w:pPr>
            <w:r>
              <w:rPr>
                <w:rFonts w:hint="eastAsia"/>
                <w:b w:val="0"/>
                <w:bCs/>
              </w:rPr>
              <w:t>医护的义务、患者的权利</w:t>
            </w:r>
          </w:p>
          <w:p>
            <w:pPr>
              <w:spacing w:line="288" w:lineRule="auto"/>
              <w:rPr>
                <w:b w:val="0"/>
                <w:bCs/>
              </w:rPr>
            </w:pPr>
          </w:p>
          <w:p>
            <w:pPr>
              <w:spacing w:line="288" w:lineRule="auto"/>
              <w:rPr>
                <w:b w:val="0"/>
                <w:bCs/>
              </w:rPr>
            </w:pPr>
            <w:r>
              <w:rPr>
                <w:b w:val="0"/>
                <w:bCs/>
              </w:rPr>
              <w:t>临床</w:t>
            </w:r>
            <w:r>
              <w:rPr>
                <w:rFonts w:hint="eastAsia"/>
                <w:b w:val="0"/>
                <w:bCs/>
              </w:rPr>
              <w:t>基础、专科以及特殊</w:t>
            </w:r>
            <w:r>
              <w:rPr>
                <w:b w:val="0"/>
                <w:bCs/>
              </w:rPr>
              <w:t>护理</w:t>
            </w:r>
            <w:r>
              <w:rPr>
                <w:rFonts w:hint="eastAsia"/>
                <w:b w:val="0"/>
                <w:bCs/>
              </w:rPr>
              <w:t>的</w:t>
            </w:r>
            <w:r>
              <w:rPr>
                <w:b w:val="0"/>
                <w:bCs/>
              </w:rPr>
              <w:t>注意义务与护理过失</w:t>
            </w:r>
          </w:p>
          <w:p>
            <w:pPr>
              <w:spacing w:line="288" w:lineRule="auto"/>
              <w:rPr>
                <w:b w:val="0"/>
                <w:bCs/>
              </w:rPr>
            </w:pPr>
            <w:r>
              <w:rPr>
                <w:b w:val="0"/>
                <w:bCs/>
              </w:rPr>
              <w:t>护理教育和护理科研中的法律问题</w:t>
            </w:r>
          </w:p>
        </w:tc>
        <w:tc>
          <w:tcPr>
            <w:tcW w:w="1701" w:type="dxa"/>
            <w:noWrap/>
          </w:tcPr>
          <w:p>
            <w:pPr>
              <w:spacing w:line="288" w:lineRule="auto"/>
              <w:rPr>
                <w:b w:val="0"/>
                <w:bCs/>
              </w:rPr>
            </w:pPr>
            <w:r>
              <w:rPr>
                <w:rFonts w:hint="eastAsia"/>
                <w:b w:val="0"/>
                <w:bCs/>
              </w:rPr>
              <w:t>坚持人民至上、生命至上</w:t>
            </w:r>
          </w:p>
          <w:p>
            <w:pPr>
              <w:spacing w:line="288" w:lineRule="auto"/>
              <w:rPr>
                <w:b w:val="0"/>
                <w:bCs/>
              </w:rPr>
            </w:pPr>
            <w:r>
              <w:rPr>
                <w:rFonts w:hint="eastAsia"/>
                <w:b w:val="0"/>
                <w:bCs/>
              </w:rPr>
              <w:t>尊重患者人格尊严，保护患者隐私</w:t>
            </w:r>
          </w:p>
          <w:p>
            <w:pPr>
              <w:spacing w:line="288" w:lineRule="auto"/>
              <w:rPr>
                <w:b w:val="0"/>
                <w:bCs/>
              </w:rPr>
            </w:pPr>
            <w:r>
              <w:rPr>
                <w:rFonts w:hint="eastAsia"/>
                <w:b w:val="0"/>
                <w:bCs/>
              </w:rPr>
              <w:t>诚信、友善；尊重科学</w:t>
            </w:r>
          </w:p>
          <w:p>
            <w:pPr>
              <w:spacing w:line="288" w:lineRule="auto"/>
              <w:rPr>
                <w:b w:val="0"/>
                <w:bCs/>
              </w:rPr>
            </w:pPr>
            <w:r>
              <w:rPr>
                <w:rFonts w:hint="eastAsia"/>
                <w:b w:val="0"/>
                <w:bCs/>
              </w:rPr>
              <w:t>“社会主义核心价值观是凝聚人心、汇聚民力的强大力量。”</w:t>
            </w:r>
          </w:p>
          <w:p>
            <w:pPr>
              <w:spacing w:line="288" w:lineRule="auto"/>
              <w:rPr>
                <w:b w:val="0"/>
                <w:bCs/>
              </w:rPr>
            </w:pPr>
            <w:r>
              <w:rPr>
                <w:rFonts w:hint="eastAsia"/>
                <w:b w:val="0"/>
                <w:bCs/>
              </w:rPr>
              <w:t>甘于奉献、大爱无疆</w:t>
            </w:r>
          </w:p>
          <w:p>
            <w:pPr>
              <w:spacing w:line="288" w:lineRule="auto"/>
              <w:rPr>
                <w:b w:val="0"/>
                <w:bCs/>
              </w:rPr>
            </w:pPr>
          </w:p>
          <w:p>
            <w:pPr>
              <w:spacing w:line="288" w:lineRule="auto"/>
              <w:rPr>
                <w:b w:val="0"/>
                <w:bCs/>
              </w:rPr>
            </w:pPr>
          </w:p>
          <w:p>
            <w:pPr>
              <w:spacing w:line="288" w:lineRule="auto"/>
              <w:rPr>
                <w:b w:val="0"/>
                <w:bCs/>
              </w:rPr>
            </w:pPr>
          </w:p>
        </w:tc>
        <w:tc>
          <w:tcPr>
            <w:tcW w:w="2126" w:type="dxa"/>
            <w:noWrap/>
          </w:tcPr>
          <w:p>
            <w:pPr>
              <w:spacing w:line="288" w:lineRule="auto"/>
              <w:rPr>
                <w:b w:val="0"/>
                <w:bCs/>
              </w:rPr>
            </w:pPr>
            <w:r>
              <w:rPr>
                <w:rFonts w:hint="eastAsia"/>
                <w:b w:val="0"/>
                <w:bCs/>
              </w:rPr>
              <w:t>理解人格尊严受尊重的法律规定，</w:t>
            </w:r>
            <w:r>
              <w:rPr>
                <w:b w:val="0"/>
                <w:bCs/>
              </w:rPr>
              <w:t>践行人民至上、生命至上理念</w:t>
            </w:r>
            <w:r>
              <w:rPr>
                <w:rFonts w:hint="eastAsia"/>
                <w:b w:val="0"/>
                <w:bCs/>
              </w:rPr>
              <w:t>，不忘医者初心，牢记健康使命，履行救死扶伤、治病救人的职责，并能正确熟练运用于临床实践中。</w:t>
            </w:r>
          </w:p>
          <w:p>
            <w:pPr>
              <w:spacing w:line="288" w:lineRule="auto"/>
              <w:rPr>
                <w:b w:val="0"/>
                <w:bCs/>
              </w:rPr>
            </w:pPr>
            <w:r>
              <w:rPr>
                <w:rFonts w:hint="eastAsia"/>
                <w:b w:val="0"/>
                <w:bCs/>
              </w:rPr>
              <w:t>学会通过实施护理行为来构建良好的护患关系，增强爱专业、学技术的积极性和以人民为中心，全心全意服务患者，建立良好护患关系的信心。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ign w:val="center"/>
          </w:tcPr>
          <w:p>
            <w:pPr>
              <w:spacing w:line="288" w:lineRule="auto"/>
              <w:jc w:val="center"/>
              <w:rPr>
                <w:b/>
              </w:rPr>
            </w:pPr>
          </w:p>
        </w:tc>
        <w:tc>
          <w:tcPr>
            <w:tcW w:w="1701" w:type="dxa"/>
            <w:noWrap/>
          </w:tcPr>
          <w:p>
            <w:pPr>
              <w:spacing w:line="288" w:lineRule="auto"/>
              <w:rPr>
                <w:b w:val="0"/>
                <w:bCs/>
              </w:rPr>
            </w:pPr>
            <w:r>
              <w:rPr>
                <w:rFonts w:hint="eastAsia"/>
                <w:b w:val="0"/>
                <w:bCs/>
              </w:rPr>
              <w:t>第五章第一节、第二节</w:t>
            </w:r>
          </w:p>
        </w:tc>
        <w:tc>
          <w:tcPr>
            <w:tcW w:w="2268" w:type="dxa"/>
            <w:noWrap/>
          </w:tcPr>
          <w:p>
            <w:pPr>
              <w:spacing w:line="288" w:lineRule="auto"/>
              <w:rPr>
                <w:b w:val="0"/>
                <w:bCs/>
              </w:rPr>
            </w:pPr>
            <w:r>
              <w:rPr>
                <w:rFonts w:hint="eastAsia"/>
                <w:b w:val="0"/>
                <w:bCs/>
              </w:rPr>
              <w:t>护理法律责任</w:t>
            </w:r>
          </w:p>
          <w:p>
            <w:pPr>
              <w:spacing w:line="288" w:lineRule="auto"/>
              <w:rPr>
                <w:b w:val="0"/>
                <w:bCs/>
              </w:rPr>
            </w:pPr>
            <w:r>
              <w:rPr>
                <w:b w:val="0"/>
                <w:bCs/>
              </w:rPr>
              <w:t>护理纠纷防范与处理</w:t>
            </w:r>
          </w:p>
        </w:tc>
        <w:tc>
          <w:tcPr>
            <w:tcW w:w="1701" w:type="dxa"/>
            <w:noWrap/>
          </w:tcPr>
          <w:p>
            <w:pPr>
              <w:spacing w:line="288" w:lineRule="auto"/>
              <w:rPr>
                <w:b w:val="0"/>
                <w:bCs/>
              </w:rPr>
            </w:pPr>
            <w:r>
              <w:rPr>
                <w:rFonts w:hint="eastAsia"/>
                <w:b w:val="0"/>
                <w:bCs/>
              </w:rPr>
              <w:t>坚持依法治国和以德治国相结合，把社会主义核心价值观融入法治建设、融入社会发展、融入日常生活。</w:t>
            </w:r>
          </w:p>
          <w:p>
            <w:pPr>
              <w:spacing w:line="288" w:lineRule="auto"/>
              <w:rPr>
                <w:b w:val="0"/>
                <w:bCs/>
              </w:rPr>
            </w:pPr>
            <w:r>
              <w:rPr>
                <w:rFonts w:hint="eastAsia"/>
                <w:b w:val="0"/>
                <w:bCs/>
              </w:rPr>
              <w:t>公正、公平、和谐、诚信、友善等社会主义核心价值观</w:t>
            </w:r>
          </w:p>
          <w:p>
            <w:pPr>
              <w:spacing w:line="288" w:lineRule="auto"/>
              <w:rPr>
                <w:b w:val="0"/>
                <w:bCs/>
              </w:rPr>
            </w:pPr>
          </w:p>
        </w:tc>
        <w:tc>
          <w:tcPr>
            <w:tcW w:w="2126" w:type="dxa"/>
            <w:noWrap/>
          </w:tcPr>
          <w:p>
            <w:pPr>
              <w:spacing w:line="288" w:lineRule="auto"/>
              <w:rPr>
                <w:b w:val="0"/>
                <w:bCs/>
              </w:rPr>
            </w:pPr>
            <w:r>
              <w:rPr>
                <w:rFonts w:hint="eastAsia"/>
                <w:b w:val="0"/>
                <w:bCs/>
              </w:rPr>
              <w:t>领会法律之精神以及法律的功能和作用，树立法律理念，尊崇法律，信奉法律。</w:t>
            </w:r>
          </w:p>
          <w:p>
            <w:pPr>
              <w:spacing w:line="288" w:lineRule="auto"/>
              <w:rPr>
                <w:b w:val="0"/>
                <w:bCs/>
              </w:rPr>
            </w:pPr>
            <w:r>
              <w:rPr>
                <w:rFonts w:hint="eastAsia"/>
                <w:b w:val="0"/>
                <w:bCs/>
              </w:rPr>
              <w:t>增强以人民为中心，全心全意服务患者，建立良好护患关系的信心。</w:t>
            </w:r>
          </w:p>
          <w:p>
            <w:pPr>
              <w:spacing w:line="288" w:lineRule="auto"/>
              <w:rPr>
                <w:b w:val="0"/>
                <w:bCs/>
              </w:rPr>
            </w:pPr>
          </w:p>
        </w:tc>
      </w:tr>
    </w:tbl>
    <w:p>
      <w:pPr>
        <w:spacing w:line="360" w:lineRule="auto"/>
        <w:ind w:firstLine="422" w:firstLineChars="200"/>
        <w:rPr>
          <w:b/>
        </w:rPr>
      </w:pPr>
      <w:r>
        <w:rPr>
          <w:rFonts w:hint="eastAsia"/>
          <w:b/>
        </w:rPr>
        <w:t>七、主要教学方法</w:t>
      </w:r>
    </w:p>
    <w:p>
      <w:pPr>
        <w:spacing w:line="360" w:lineRule="auto"/>
        <w:ind w:firstLine="420"/>
      </w:pPr>
      <w:r>
        <w:rPr>
          <w:rFonts w:hint="eastAsia"/>
        </w:rPr>
        <w:t>结合护理学专业学生的特点，将主要采取理论讲授、案例式教学法、讨论式教学法、情景模拟和角色参与式教学法等。</w:t>
      </w:r>
    </w:p>
    <w:p>
      <w:pPr>
        <w:spacing w:line="360" w:lineRule="auto"/>
        <w:ind w:firstLine="422" w:firstLineChars="200"/>
        <w:rPr>
          <w:b/>
        </w:rPr>
      </w:pPr>
      <w:r>
        <w:rPr>
          <w:rFonts w:hint="eastAsia"/>
          <w:b/>
        </w:rPr>
        <w:t>八、参考教材（名称、主编、出版社、出版时间）</w:t>
      </w:r>
    </w:p>
    <w:p>
      <w:pPr>
        <w:spacing w:line="288" w:lineRule="auto"/>
        <w:ind w:firstLine="420" w:firstLineChars="200"/>
        <w:rPr>
          <w:szCs w:val="21"/>
        </w:rPr>
      </w:pPr>
      <w:r>
        <w:rPr>
          <w:rFonts w:hint="eastAsia"/>
          <w:szCs w:val="21"/>
        </w:rPr>
        <w:t>1.医疗法律风险预防与处理，赵敏，北京：北京大学出版社2019年版</w:t>
      </w:r>
    </w:p>
    <w:p>
      <w:pPr>
        <w:spacing w:line="288" w:lineRule="auto"/>
        <w:ind w:firstLine="420" w:firstLineChars="200"/>
        <w:rPr>
          <w:b/>
        </w:rPr>
      </w:pPr>
      <w:r>
        <w:rPr>
          <w:rFonts w:hint="eastAsia"/>
          <w:bCs/>
        </w:rPr>
        <w:t>2.护理伦理与法律法规，傅学红 乔瑜，武汉：华中科技大学出版社，2022年</w:t>
      </w:r>
    </w:p>
    <w:p>
      <w:pPr>
        <w:spacing w:line="360" w:lineRule="auto"/>
        <w:ind w:firstLine="422" w:firstLineChars="200"/>
        <w:rPr>
          <w:b/>
        </w:rPr>
      </w:pPr>
      <w:r>
        <w:rPr>
          <w:rFonts w:hint="eastAsia"/>
          <w:b/>
        </w:rPr>
        <w:t>九、教学学习</w:t>
      </w:r>
      <w:r>
        <w:rPr>
          <w:b/>
        </w:rPr>
        <w:t>资源</w:t>
      </w:r>
      <w:r>
        <w:rPr>
          <w:rFonts w:hint="eastAsia"/>
          <w:b/>
        </w:rPr>
        <w:t>或</w:t>
      </w:r>
      <w:r>
        <w:rPr>
          <w:b/>
        </w:rPr>
        <w:t>平台</w:t>
      </w:r>
    </w:p>
    <w:p>
      <w:pPr>
        <w:spacing w:line="360" w:lineRule="auto"/>
        <w:ind w:firstLine="420" w:firstLineChars="200"/>
      </w:pPr>
      <w:r>
        <w:rPr>
          <w:rFonts w:hint="eastAsia"/>
        </w:rPr>
        <w:t>PPT</w:t>
      </w:r>
    </w:p>
    <w:p>
      <w:pPr>
        <w:spacing w:line="360" w:lineRule="auto"/>
        <w:ind w:firstLine="420" w:firstLineChars="200"/>
        <w:rPr>
          <w:bCs/>
        </w:rPr>
      </w:pPr>
      <w:r>
        <w:rPr>
          <w:rFonts w:hint="eastAsia"/>
        </w:rPr>
        <w:t>学习参考资料：</w:t>
      </w:r>
      <w:bookmarkStart w:id="0" w:name="itemlist-author"/>
      <w:bookmarkStart w:id="1" w:name="itemlist-title"/>
      <w:r>
        <w:rPr>
          <w:rFonts w:hint="eastAsia"/>
        </w:rPr>
        <w:t>相关法律法规规章；</w:t>
      </w:r>
      <w:r>
        <w:fldChar w:fldCharType="begin"/>
      </w:r>
      <w:r>
        <w:instrText xml:space="preserve"> HYPERLINK "https://search.dangdang.com/?key2=%B9%FA%BC%D2%CE%C0%C9%FA%BD%A1%BF%B5%CE%AF%D4%B1%BB%E1%D2%BD%D5%FE%CB%BE&amp;medium=01&amp;category_path=01.00.00.00.00.00" \o "国家卫生健康委员会医政司" </w:instrText>
      </w:r>
      <w:r>
        <w:fldChar w:fldCharType="separate"/>
      </w:r>
      <w:r>
        <w:rPr>
          <w:rFonts w:hint="eastAsia" w:ascii="宋体" w:hAnsi="宋体"/>
          <w:szCs w:val="21"/>
        </w:rPr>
        <w:t>国家卫生健康委员会医政司</w:t>
      </w:r>
      <w:bookmarkEnd w:id="0"/>
      <w:r>
        <w:rPr>
          <w:rFonts w:hint="eastAsia" w:ascii="宋体" w:hAnsi="宋体"/>
          <w:szCs w:val="21"/>
        </w:rPr>
        <w:fldChar w:fldCharType="end"/>
      </w:r>
      <w:r>
        <w:rPr>
          <w:rFonts w:hint="eastAsia" w:ascii="宋体" w:hAnsi="宋体"/>
          <w:szCs w:val="21"/>
        </w:rPr>
        <w:t>：《</w:t>
      </w:r>
      <w:r>
        <w:fldChar w:fldCharType="begin"/>
      </w:r>
      <w:r>
        <w:instrText xml:space="preserve"> HYPERLINK "https://product.dangdang.com/11557516734.html" \t "https://search.dangdang.com/_blank" \o " 【正版新书】医疗质量安全核心制度要点释义：第二版 " </w:instrText>
      </w:r>
      <w:r>
        <w:fldChar w:fldCharType="separate"/>
      </w:r>
      <w:r>
        <w:rPr>
          <w:rFonts w:hint="eastAsia" w:ascii="宋体" w:hAnsi="宋体"/>
          <w:szCs w:val="21"/>
        </w:rPr>
        <w:t>医疗质量安全核心制度要点释义（第二版）</w:t>
      </w:r>
      <w:bookmarkEnd w:id="1"/>
      <w:r>
        <w:rPr>
          <w:rFonts w:hint="eastAsia" w:ascii="宋体" w:hAnsi="宋体"/>
          <w:szCs w:val="21"/>
        </w:rPr>
        <w:fldChar w:fldCharType="end"/>
      </w:r>
      <w:r>
        <w:rPr>
          <w:rFonts w:hint="eastAsia" w:ascii="宋体" w:hAnsi="宋体"/>
          <w:szCs w:val="21"/>
        </w:rPr>
        <w:t>》，中国人口出版社2023年。</w:t>
      </w:r>
    </w:p>
    <w:p>
      <w:pPr>
        <w:spacing w:line="288" w:lineRule="auto"/>
        <w:rPr>
          <w:b/>
        </w:rPr>
      </w:pPr>
      <w:r>
        <w:rPr>
          <w:rFonts w:hint="eastAsia"/>
          <w:b/>
        </w:rPr>
        <w:t xml:space="preserve">    十、考核方式</w:t>
      </w:r>
    </w:p>
    <w:p>
      <w:pPr>
        <w:spacing w:line="288"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bCs/>
        </w:rPr>
        <w:t>1.</w:t>
      </w:r>
      <w:r>
        <w:rPr>
          <w:rFonts w:hint="eastAsia" w:asciiTheme="minorEastAsia" w:hAnsiTheme="minorEastAsia" w:eastAsiaTheme="minorEastAsia" w:cstheme="minorEastAsia"/>
          <w:bCs/>
          <w:szCs w:val="21"/>
        </w:rPr>
        <w:t>平</w:t>
      </w:r>
      <w:r>
        <w:rPr>
          <w:rFonts w:hint="eastAsia" w:asciiTheme="minorEastAsia" w:hAnsiTheme="minorEastAsia" w:eastAsiaTheme="minorEastAsia" w:cstheme="minorEastAsia"/>
          <w:szCs w:val="21"/>
        </w:rPr>
        <w:t>时考核：通过课堂提问、课堂讨论、小测验、课堂参与活动表现等方式进行，并结合考勤评定平时成绩，平时成绩占总成绩的50%。</w:t>
      </w:r>
    </w:p>
    <w:p>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2.期末考核：考查，采用开卷形式，占总成绩的50%。</w:t>
      </w:r>
    </w:p>
    <w:p>
      <w:pPr>
        <w:spacing w:line="360" w:lineRule="auto"/>
        <w:ind w:firstLine="420" w:firstLineChars="200"/>
        <w:rPr>
          <w:rFonts w:asciiTheme="minorEastAsia" w:hAnsiTheme="minorEastAsia" w:eastAsiaTheme="minorEastAsia" w:cstheme="minorEastAsia"/>
          <w:szCs w:val="21"/>
        </w:rPr>
        <w:sectPr>
          <w:pgSz w:w="11906" w:h="16838"/>
          <w:pgMar w:top="1440" w:right="1800" w:bottom="1440" w:left="1800" w:header="851" w:footer="992" w:gutter="0"/>
          <w:pgNumType w:start="1"/>
          <w:cols w:space="425" w:num="1"/>
          <w:docGrid w:type="lines" w:linePitch="312" w:charSpace="0"/>
        </w:sectPr>
      </w:pPr>
      <w:r>
        <w:rPr>
          <w:rFonts w:hint="eastAsia" w:asciiTheme="minorEastAsia" w:hAnsiTheme="minorEastAsia" w:eastAsiaTheme="minorEastAsia" w:cstheme="minorEastAsia"/>
          <w:szCs w:val="21"/>
        </w:rPr>
        <w:t>3.考核与评价的分析结果通过学习通等网络学习平台向学生反馈。</w:t>
      </w:r>
    </w:p>
    <w:p>
      <w:pPr>
        <w:spacing w:line="288" w:lineRule="auto"/>
        <w:rPr>
          <w:b/>
        </w:rPr>
      </w:pPr>
      <w:r>
        <w:rPr>
          <w:rFonts w:hint="eastAsia"/>
          <w:b/>
        </w:rPr>
        <w:t>附表：教学计划表（在相应的表格内填写教学学时数）</w:t>
      </w:r>
    </w:p>
    <w:tbl>
      <w:tblPr>
        <w:tblStyle w:val="5"/>
        <w:tblW w:w="135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7"/>
        <w:gridCol w:w="4997"/>
        <w:gridCol w:w="2268"/>
        <w:gridCol w:w="2126"/>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207" w:type="dxa"/>
            <w:noWrap/>
            <w:vAlign w:val="center"/>
          </w:tcPr>
          <w:p>
            <w:pPr>
              <w:spacing w:line="288" w:lineRule="auto"/>
              <w:jc w:val="center"/>
              <w:rPr>
                <w:b/>
              </w:rPr>
            </w:pPr>
            <w:r>
              <w:rPr>
                <w:rFonts w:hint="eastAsia"/>
                <w:b/>
              </w:rPr>
              <w:t>序号</w:t>
            </w:r>
          </w:p>
        </w:tc>
        <w:tc>
          <w:tcPr>
            <w:tcW w:w="4997" w:type="dxa"/>
            <w:noWrap/>
            <w:vAlign w:val="center"/>
          </w:tcPr>
          <w:p>
            <w:pPr>
              <w:spacing w:line="288" w:lineRule="auto"/>
              <w:jc w:val="center"/>
              <w:rPr>
                <w:b/>
              </w:rPr>
            </w:pPr>
            <w:r>
              <w:rPr>
                <w:rFonts w:hint="eastAsia"/>
                <w:b/>
              </w:rPr>
              <w:t>学习内容</w:t>
            </w:r>
          </w:p>
        </w:tc>
        <w:tc>
          <w:tcPr>
            <w:tcW w:w="2268" w:type="dxa"/>
            <w:noWrap/>
            <w:vAlign w:val="center"/>
          </w:tcPr>
          <w:p>
            <w:pPr>
              <w:spacing w:line="288" w:lineRule="auto"/>
              <w:jc w:val="center"/>
              <w:rPr>
                <w:b/>
              </w:rPr>
            </w:pPr>
            <w:r>
              <w:rPr>
                <w:rFonts w:hint="eastAsia"/>
                <w:b/>
              </w:rPr>
              <w:t>理论学时</w:t>
            </w:r>
          </w:p>
        </w:tc>
        <w:tc>
          <w:tcPr>
            <w:tcW w:w="2126" w:type="dxa"/>
            <w:noWrap/>
            <w:vAlign w:val="center"/>
          </w:tcPr>
          <w:p>
            <w:pPr>
              <w:spacing w:line="288" w:lineRule="auto"/>
              <w:jc w:val="center"/>
              <w:rPr>
                <w:b/>
              </w:rPr>
            </w:pPr>
            <w:r>
              <w:rPr>
                <w:rFonts w:hint="eastAsia"/>
                <w:b/>
              </w:rPr>
              <w:t>实验学时</w:t>
            </w:r>
          </w:p>
        </w:tc>
        <w:tc>
          <w:tcPr>
            <w:tcW w:w="2977" w:type="dxa"/>
            <w:noWrap/>
            <w:vAlign w:val="center"/>
          </w:tcPr>
          <w:p>
            <w:pPr>
              <w:spacing w:line="288" w:lineRule="auto"/>
              <w:jc w:val="center"/>
              <w:rPr>
                <w:b/>
              </w:rPr>
            </w:pPr>
            <w:r>
              <w:rPr>
                <w:rFonts w:hint="eastAsia"/>
                <w:b/>
              </w:rPr>
              <w:t>是否自主学习</w:t>
            </w:r>
            <w:r>
              <w:rPr>
                <w:b/>
              </w:rPr>
              <w:t>内容</w:t>
            </w:r>
            <w:r>
              <w:rPr>
                <w:rFonts w:hint="eastAsia"/>
                <w:b/>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207" w:type="dxa"/>
            <w:noWrap/>
            <w:vAlign w:val="center"/>
          </w:tcPr>
          <w:p>
            <w:pPr>
              <w:spacing w:line="288" w:lineRule="auto"/>
              <w:jc w:val="center"/>
              <w:rPr>
                <w:b/>
              </w:rPr>
            </w:pPr>
            <w:r>
              <w:rPr>
                <w:rFonts w:hint="eastAsia"/>
                <w:b/>
              </w:rPr>
              <w:t>1</w:t>
            </w:r>
          </w:p>
        </w:tc>
        <w:tc>
          <w:tcPr>
            <w:tcW w:w="4997" w:type="dxa"/>
            <w:noWrap/>
            <w:vAlign w:val="center"/>
          </w:tcPr>
          <w:p>
            <w:pPr>
              <w:spacing w:line="288" w:lineRule="auto"/>
              <w:rPr>
                <w:b w:val="0"/>
                <w:bCs/>
              </w:rPr>
            </w:pPr>
            <w:r>
              <w:rPr>
                <w:rFonts w:hint="eastAsia"/>
                <w:b w:val="0"/>
                <w:bCs/>
              </w:rPr>
              <w:t>第一章  绪论</w:t>
            </w:r>
          </w:p>
        </w:tc>
        <w:tc>
          <w:tcPr>
            <w:tcW w:w="2268" w:type="dxa"/>
            <w:noWrap/>
            <w:vAlign w:val="center"/>
          </w:tcPr>
          <w:p>
            <w:pPr>
              <w:spacing w:line="288" w:lineRule="auto"/>
              <w:jc w:val="center"/>
              <w:rPr>
                <w:b/>
              </w:rPr>
            </w:pPr>
            <w:r>
              <w:rPr>
                <w:rFonts w:hint="eastAsia"/>
                <w:b/>
              </w:rPr>
              <w:t>1</w:t>
            </w:r>
          </w:p>
        </w:tc>
        <w:tc>
          <w:tcPr>
            <w:tcW w:w="2126" w:type="dxa"/>
            <w:noWrap/>
            <w:vAlign w:val="center"/>
          </w:tcPr>
          <w:p>
            <w:pPr>
              <w:spacing w:line="288" w:lineRule="auto"/>
              <w:jc w:val="center"/>
              <w:rPr>
                <w:b/>
              </w:rPr>
            </w:pPr>
            <w:r>
              <w:rPr>
                <w:rFonts w:hint="eastAsia"/>
                <w:b/>
              </w:rPr>
              <w:t>0</w:t>
            </w:r>
          </w:p>
        </w:tc>
        <w:tc>
          <w:tcPr>
            <w:tcW w:w="2977" w:type="dxa"/>
            <w:noWrap/>
            <w:vAlign w:val="center"/>
          </w:tcPr>
          <w:p>
            <w:pPr>
              <w:spacing w:line="288" w:lineRule="auto"/>
              <w:jc w:val="center"/>
              <w:rPr>
                <w:b/>
              </w:rPr>
            </w:pPr>
            <w:r>
              <w:rPr>
                <w:rFonts w:hint="eastAsia"/>
                <w:b/>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207" w:type="dxa"/>
            <w:noWrap/>
            <w:vAlign w:val="center"/>
          </w:tcPr>
          <w:p>
            <w:pPr>
              <w:spacing w:line="288" w:lineRule="auto"/>
              <w:jc w:val="center"/>
              <w:rPr>
                <w:b/>
              </w:rPr>
            </w:pPr>
            <w:r>
              <w:rPr>
                <w:rFonts w:hint="eastAsia"/>
                <w:b/>
              </w:rPr>
              <w:t>2</w:t>
            </w:r>
          </w:p>
        </w:tc>
        <w:tc>
          <w:tcPr>
            <w:tcW w:w="4997" w:type="dxa"/>
            <w:noWrap/>
            <w:vAlign w:val="center"/>
          </w:tcPr>
          <w:p>
            <w:pPr>
              <w:spacing w:line="288" w:lineRule="auto"/>
              <w:rPr>
                <w:b w:val="0"/>
                <w:bCs/>
              </w:rPr>
            </w:pPr>
            <w:r>
              <w:rPr>
                <w:rFonts w:hint="eastAsia"/>
                <w:b w:val="0"/>
                <w:bCs/>
              </w:rPr>
              <w:t>第二章  护士执业资格与执业规则</w:t>
            </w:r>
          </w:p>
        </w:tc>
        <w:tc>
          <w:tcPr>
            <w:tcW w:w="2268" w:type="dxa"/>
            <w:noWrap/>
            <w:vAlign w:val="center"/>
          </w:tcPr>
          <w:p>
            <w:pPr>
              <w:spacing w:line="288" w:lineRule="auto"/>
              <w:jc w:val="center"/>
              <w:rPr>
                <w:b/>
              </w:rPr>
            </w:pPr>
            <w:r>
              <w:rPr>
                <w:rFonts w:hint="eastAsia"/>
                <w:b/>
              </w:rPr>
              <w:t>3</w:t>
            </w:r>
          </w:p>
        </w:tc>
        <w:tc>
          <w:tcPr>
            <w:tcW w:w="2126" w:type="dxa"/>
            <w:noWrap/>
            <w:vAlign w:val="center"/>
          </w:tcPr>
          <w:p>
            <w:pPr>
              <w:spacing w:line="288" w:lineRule="auto"/>
              <w:jc w:val="center"/>
              <w:rPr>
                <w:b/>
              </w:rPr>
            </w:pPr>
            <w:r>
              <w:rPr>
                <w:rFonts w:hint="eastAsia"/>
                <w:b/>
              </w:rPr>
              <w:t>0</w:t>
            </w:r>
          </w:p>
        </w:tc>
        <w:tc>
          <w:tcPr>
            <w:tcW w:w="2977" w:type="dxa"/>
            <w:noWrap/>
            <w:vAlign w:val="center"/>
          </w:tcPr>
          <w:p>
            <w:pPr>
              <w:spacing w:line="288" w:lineRule="auto"/>
              <w:jc w:val="center"/>
              <w:rPr>
                <w:b/>
              </w:rPr>
            </w:pPr>
            <w:r>
              <w:rPr>
                <w:rFonts w:hint="eastAsia"/>
                <w:b/>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207" w:type="dxa"/>
            <w:noWrap/>
            <w:vAlign w:val="center"/>
          </w:tcPr>
          <w:p>
            <w:pPr>
              <w:spacing w:line="288" w:lineRule="auto"/>
              <w:jc w:val="center"/>
              <w:rPr>
                <w:b/>
              </w:rPr>
            </w:pPr>
            <w:r>
              <w:rPr>
                <w:rFonts w:hint="eastAsia"/>
                <w:b/>
              </w:rPr>
              <w:t>3</w:t>
            </w:r>
          </w:p>
        </w:tc>
        <w:tc>
          <w:tcPr>
            <w:tcW w:w="4997" w:type="dxa"/>
            <w:noWrap/>
            <w:vAlign w:val="center"/>
          </w:tcPr>
          <w:p>
            <w:pPr>
              <w:spacing w:line="288" w:lineRule="auto"/>
              <w:rPr>
                <w:b w:val="0"/>
                <w:bCs/>
              </w:rPr>
            </w:pPr>
            <w:r>
              <w:rPr>
                <w:rFonts w:hint="eastAsia"/>
                <w:b w:val="0"/>
                <w:bCs/>
              </w:rPr>
              <w:t>第三章  护患法律关系与护理行为</w:t>
            </w:r>
          </w:p>
        </w:tc>
        <w:tc>
          <w:tcPr>
            <w:tcW w:w="2268" w:type="dxa"/>
            <w:noWrap/>
            <w:vAlign w:val="center"/>
          </w:tcPr>
          <w:p>
            <w:pPr>
              <w:spacing w:line="288" w:lineRule="auto"/>
              <w:jc w:val="center"/>
              <w:rPr>
                <w:b/>
              </w:rPr>
            </w:pPr>
            <w:r>
              <w:rPr>
                <w:rFonts w:hint="eastAsia"/>
                <w:b/>
              </w:rPr>
              <w:t>4</w:t>
            </w:r>
          </w:p>
        </w:tc>
        <w:tc>
          <w:tcPr>
            <w:tcW w:w="2126" w:type="dxa"/>
            <w:noWrap/>
            <w:vAlign w:val="center"/>
          </w:tcPr>
          <w:p>
            <w:pPr>
              <w:spacing w:line="288" w:lineRule="auto"/>
              <w:jc w:val="center"/>
              <w:rPr>
                <w:b/>
              </w:rPr>
            </w:pPr>
            <w:r>
              <w:rPr>
                <w:rFonts w:hint="eastAsia"/>
                <w:b/>
              </w:rPr>
              <w:t>0</w:t>
            </w:r>
          </w:p>
        </w:tc>
        <w:tc>
          <w:tcPr>
            <w:tcW w:w="2977" w:type="dxa"/>
            <w:noWrap/>
            <w:vAlign w:val="center"/>
          </w:tcPr>
          <w:p>
            <w:pPr>
              <w:spacing w:line="288" w:lineRule="auto"/>
              <w:jc w:val="center"/>
              <w:rPr>
                <w:b/>
              </w:rPr>
            </w:pPr>
            <w:r>
              <w:rPr>
                <w:rFonts w:hint="eastAsia"/>
                <w:b/>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1207" w:type="dxa"/>
            <w:noWrap/>
            <w:vAlign w:val="center"/>
          </w:tcPr>
          <w:p>
            <w:pPr>
              <w:spacing w:line="288" w:lineRule="auto"/>
              <w:jc w:val="center"/>
              <w:rPr>
                <w:b/>
              </w:rPr>
            </w:pPr>
            <w:r>
              <w:rPr>
                <w:rFonts w:hint="eastAsia"/>
                <w:b/>
              </w:rPr>
              <w:t>4</w:t>
            </w:r>
          </w:p>
        </w:tc>
        <w:tc>
          <w:tcPr>
            <w:tcW w:w="4997" w:type="dxa"/>
            <w:noWrap/>
            <w:vAlign w:val="center"/>
          </w:tcPr>
          <w:p>
            <w:pPr>
              <w:spacing w:line="288" w:lineRule="auto"/>
              <w:rPr>
                <w:b w:val="0"/>
                <w:bCs/>
              </w:rPr>
            </w:pPr>
            <w:r>
              <w:rPr>
                <w:rFonts w:hint="eastAsia"/>
                <w:b w:val="0"/>
                <w:bCs/>
              </w:rPr>
              <w:t>第四章  临床护理注意义务与护理过失认定</w:t>
            </w:r>
          </w:p>
        </w:tc>
        <w:tc>
          <w:tcPr>
            <w:tcW w:w="2268" w:type="dxa"/>
            <w:noWrap/>
            <w:vAlign w:val="center"/>
          </w:tcPr>
          <w:p>
            <w:pPr>
              <w:spacing w:line="288" w:lineRule="auto"/>
              <w:jc w:val="center"/>
              <w:rPr>
                <w:b/>
              </w:rPr>
            </w:pPr>
            <w:r>
              <w:rPr>
                <w:rFonts w:hint="eastAsia"/>
                <w:b/>
              </w:rPr>
              <w:t>4</w:t>
            </w:r>
          </w:p>
        </w:tc>
        <w:tc>
          <w:tcPr>
            <w:tcW w:w="2126" w:type="dxa"/>
            <w:noWrap/>
            <w:vAlign w:val="center"/>
          </w:tcPr>
          <w:p>
            <w:pPr>
              <w:spacing w:line="288" w:lineRule="auto"/>
              <w:jc w:val="center"/>
              <w:rPr>
                <w:b/>
              </w:rPr>
            </w:pPr>
            <w:r>
              <w:rPr>
                <w:rFonts w:hint="eastAsia"/>
                <w:b/>
              </w:rPr>
              <w:t>0</w:t>
            </w:r>
          </w:p>
        </w:tc>
        <w:tc>
          <w:tcPr>
            <w:tcW w:w="2977" w:type="dxa"/>
            <w:noWrap/>
            <w:vAlign w:val="center"/>
          </w:tcPr>
          <w:p>
            <w:pPr>
              <w:spacing w:line="288" w:lineRule="auto"/>
              <w:jc w:val="center"/>
              <w:rPr>
                <w:b/>
              </w:rPr>
            </w:pPr>
            <w:r>
              <w:rPr>
                <w:rFonts w:hint="eastAsia"/>
                <w:b/>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207" w:type="dxa"/>
            <w:noWrap/>
            <w:vAlign w:val="center"/>
          </w:tcPr>
          <w:p>
            <w:pPr>
              <w:spacing w:line="288" w:lineRule="auto"/>
              <w:jc w:val="center"/>
              <w:rPr>
                <w:b/>
              </w:rPr>
            </w:pPr>
            <w:r>
              <w:rPr>
                <w:rFonts w:hint="eastAsia"/>
                <w:b/>
              </w:rPr>
              <w:t>5</w:t>
            </w:r>
          </w:p>
        </w:tc>
        <w:tc>
          <w:tcPr>
            <w:tcW w:w="4997" w:type="dxa"/>
            <w:noWrap/>
            <w:vAlign w:val="center"/>
          </w:tcPr>
          <w:p>
            <w:pPr>
              <w:spacing w:line="288" w:lineRule="auto"/>
              <w:rPr>
                <w:b w:val="0"/>
                <w:bCs/>
              </w:rPr>
            </w:pPr>
            <w:r>
              <w:rPr>
                <w:rFonts w:hint="eastAsia"/>
                <w:b w:val="0"/>
                <w:bCs/>
              </w:rPr>
              <w:t>第五章  护理法律责任与护理纠纷防范与处理</w:t>
            </w:r>
          </w:p>
        </w:tc>
        <w:tc>
          <w:tcPr>
            <w:tcW w:w="2268" w:type="dxa"/>
            <w:noWrap/>
            <w:vAlign w:val="center"/>
          </w:tcPr>
          <w:p>
            <w:pPr>
              <w:spacing w:line="288" w:lineRule="auto"/>
              <w:jc w:val="center"/>
              <w:rPr>
                <w:b/>
              </w:rPr>
            </w:pPr>
            <w:r>
              <w:rPr>
                <w:rFonts w:hint="eastAsia"/>
                <w:b/>
              </w:rPr>
              <w:t>4</w:t>
            </w:r>
          </w:p>
        </w:tc>
        <w:tc>
          <w:tcPr>
            <w:tcW w:w="2126" w:type="dxa"/>
            <w:noWrap/>
            <w:vAlign w:val="center"/>
          </w:tcPr>
          <w:p>
            <w:pPr>
              <w:spacing w:line="288" w:lineRule="auto"/>
              <w:jc w:val="center"/>
              <w:rPr>
                <w:b/>
              </w:rPr>
            </w:pPr>
            <w:r>
              <w:rPr>
                <w:rFonts w:hint="eastAsia"/>
                <w:b/>
              </w:rPr>
              <w:t>0</w:t>
            </w:r>
          </w:p>
        </w:tc>
        <w:tc>
          <w:tcPr>
            <w:tcW w:w="2977" w:type="dxa"/>
            <w:noWrap/>
            <w:vAlign w:val="center"/>
          </w:tcPr>
          <w:p>
            <w:pPr>
              <w:spacing w:line="288" w:lineRule="auto"/>
              <w:jc w:val="center"/>
              <w:rPr>
                <w:b/>
              </w:rPr>
            </w:pPr>
            <w:r>
              <w:rPr>
                <w:rFonts w:hint="eastAsia"/>
                <w:b/>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207" w:type="dxa"/>
            <w:noWrap/>
            <w:vAlign w:val="center"/>
          </w:tcPr>
          <w:p>
            <w:pPr>
              <w:spacing w:line="288" w:lineRule="auto"/>
              <w:jc w:val="center"/>
              <w:rPr>
                <w:b/>
              </w:rPr>
            </w:pPr>
            <w:r>
              <w:rPr>
                <w:rFonts w:hint="eastAsia"/>
                <w:b/>
              </w:rPr>
              <w:t>总学时</w:t>
            </w:r>
          </w:p>
        </w:tc>
        <w:tc>
          <w:tcPr>
            <w:tcW w:w="4997" w:type="dxa"/>
            <w:noWrap/>
            <w:vAlign w:val="center"/>
          </w:tcPr>
          <w:p>
            <w:pPr>
              <w:spacing w:line="288" w:lineRule="auto"/>
              <w:rPr>
                <w:b/>
              </w:rPr>
            </w:pPr>
          </w:p>
        </w:tc>
        <w:tc>
          <w:tcPr>
            <w:tcW w:w="2268" w:type="dxa"/>
            <w:noWrap/>
            <w:vAlign w:val="center"/>
          </w:tcPr>
          <w:p>
            <w:pPr>
              <w:spacing w:line="288" w:lineRule="auto"/>
              <w:jc w:val="center"/>
              <w:rPr>
                <w:b/>
              </w:rPr>
            </w:pPr>
            <w:r>
              <w:rPr>
                <w:rFonts w:hint="eastAsia"/>
                <w:b/>
              </w:rPr>
              <w:t>16</w:t>
            </w:r>
          </w:p>
        </w:tc>
        <w:tc>
          <w:tcPr>
            <w:tcW w:w="2126" w:type="dxa"/>
            <w:noWrap/>
            <w:vAlign w:val="center"/>
          </w:tcPr>
          <w:p>
            <w:pPr>
              <w:spacing w:line="288" w:lineRule="auto"/>
              <w:jc w:val="center"/>
              <w:rPr>
                <w:b/>
              </w:rPr>
            </w:pPr>
            <w:r>
              <w:rPr>
                <w:rFonts w:hint="eastAsia"/>
                <w:b/>
              </w:rPr>
              <w:t>0</w:t>
            </w:r>
          </w:p>
        </w:tc>
        <w:tc>
          <w:tcPr>
            <w:tcW w:w="2977" w:type="dxa"/>
            <w:noWrap/>
            <w:vAlign w:val="center"/>
          </w:tcPr>
          <w:p>
            <w:pPr>
              <w:spacing w:line="288" w:lineRule="auto"/>
              <w:jc w:val="center"/>
              <w:rPr>
                <w:rFonts w:hint="eastAsia" w:eastAsia="宋体"/>
                <w:b/>
                <w:lang w:val="en-US" w:eastAsia="zh-CN"/>
              </w:rPr>
            </w:pPr>
            <w:r>
              <w:rPr>
                <w:rFonts w:hint="eastAsia"/>
                <w:b/>
                <w:lang w:val="en-US" w:eastAsia="zh-CN"/>
              </w:rPr>
              <w:t>0</w:t>
            </w:r>
          </w:p>
        </w:tc>
      </w:tr>
    </w:tbl>
    <w:p>
      <w:pPr>
        <w:spacing w:line="360" w:lineRule="auto"/>
        <w:ind w:firstLine="420" w:firstLineChars="200"/>
        <w:rPr>
          <w:rFonts w:ascii="宋体" w:hAnsi="宋体" w:cs="宋体"/>
          <w:szCs w:val="21"/>
        </w:rPr>
      </w:pPr>
    </w:p>
    <w:p>
      <w:pPr>
        <w:rPr>
          <w:rFonts w:ascii="宋体" w:hAnsi="宋体" w:cs="宋体"/>
          <w:szCs w:val="21"/>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新魏">
    <w:panose1 w:val="02010800040101010101"/>
    <w:charset w:val="86"/>
    <w:family w:val="auto"/>
    <w:pitch w:val="default"/>
    <w:sig w:usb0="00000001" w:usb1="080F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TI3NDg1OTU2NGY5OGViN2I1ZTFhNTdhNzUxYWZmMDQifQ=="/>
  </w:docVars>
  <w:rsids>
    <w:rsidRoot w:val="00DB4040"/>
    <w:rsid w:val="00025221"/>
    <w:rsid w:val="00705CA5"/>
    <w:rsid w:val="008D10A7"/>
    <w:rsid w:val="00DB4040"/>
    <w:rsid w:val="02BE07AD"/>
    <w:rsid w:val="03897016"/>
    <w:rsid w:val="03EB2D70"/>
    <w:rsid w:val="069468A4"/>
    <w:rsid w:val="07041C7C"/>
    <w:rsid w:val="07152BD4"/>
    <w:rsid w:val="07550729"/>
    <w:rsid w:val="09B01C47"/>
    <w:rsid w:val="0B6973F8"/>
    <w:rsid w:val="0BBA20CB"/>
    <w:rsid w:val="0BFF6FA3"/>
    <w:rsid w:val="0C2F779B"/>
    <w:rsid w:val="0D4032E2"/>
    <w:rsid w:val="0E337741"/>
    <w:rsid w:val="0F490B74"/>
    <w:rsid w:val="0FC244B9"/>
    <w:rsid w:val="16DF3066"/>
    <w:rsid w:val="188779A8"/>
    <w:rsid w:val="1947386A"/>
    <w:rsid w:val="19B33992"/>
    <w:rsid w:val="19EE47F1"/>
    <w:rsid w:val="1A700BC8"/>
    <w:rsid w:val="1C240AAB"/>
    <w:rsid w:val="1C413A8A"/>
    <w:rsid w:val="1E1D38F7"/>
    <w:rsid w:val="21EF43E7"/>
    <w:rsid w:val="26997893"/>
    <w:rsid w:val="27C87B96"/>
    <w:rsid w:val="27E56B08"/>
    <w:rsid w:val="28B33E68"/>
    <w:rsid w:val="2B1C4BAB"/>
    <w:rsid w:val="2C2045B2"/>
    <w:rsid w:val="2F042560"/>
    <w:rsid w:val="31A47764"/>
    <w:rsid w:val="35204BD0"/>
    <w:rsid w:val="3713099F"/>
    <w:rsid w:val="37D050DF"/>
    <w:rsid w:val="38D330D8"/>
    <w:rsid w:val="390C2146"/>
    <w:rsid w:val="3AC5171A"/>
    <w:rsid w:val="3BBC42F8"/>
    <w:rsid w:val="3D5D11C3"/>
    <w:rsid w:val="44A5546A"/>
    <w:rsid w:val="464253F9"/>
    <w:rsid w:val="46D1677D"/>
    <w:rsid w:val="486B0F43"/>
    <w:rsid w:val="49F66C08"/>
    <w:rsid w:val="4A0A44F3"/>
    <w:rsid w:val="4A1440E8"/>
    <w:rsid w:val="4B66403D"/>
    <w:rsid w:val="4D826A23"/>
    <w:rsid w:val="4F6507F6"/>
    <w:rsid w:val="4F8A1490"/>
    <w:rsid w:val="50DA42FD"/>
    <w:rsid w:val="535449BE"/>
    <w:rsid w:val="53634C01"/>
    <w:rsid w:val="55152E28"/>
    <w:rsid w:val="55B20855"/>
    <w:rsid w:val="567B0721"/>
    <w:rsid w:val="56BB3E5C"/>
    <w:rsid w:val="57253A75"/>
    <w:rsid w:val="5B00306B"/>
    <w:rsid w:val="5C466E0C"/>
    <w:rsid w:val="6020045A"/>
    <w:rsid w:val="60F0585D"/>
    <w:rsid w:val="637C004F"/>
    <w:rsid w:val="64F37035"/>
    <w:rsid w:val="664363FD"/>
    <w:rsid w:val="66B45A48"/>
    <w:rsid w:val="680227E3"/>
    <w:rsid w:val="685E2E01"/>
    <w:rsid w:val="68D56ED4"/>
    <w:rsid w:val="6BD03DC8"/>
    <w:rsid w:val="6C42111A"/>
    <w:rsid w:val="6C6B0957"/>
    <w:rsid w:val="6C891FB9"/>
    <w:rsid w:val="6D934609"/>
    <w:rsid w:val="72342C5D"/>
    <w:rsid w:val="738D4DAE"/>
    <w:rsid w:val="74807310"/>
    <w:rsid w:val="75956A44"/>
    <w:rsid w:val="75CF2457"/>
    <w:rsid w:val="77784667"/>
    <w:rsid w:val="779E4BDD"/>
    <w:rsid w:val="78511348"/>
    <w:rsid w:val="7A515E1A"/>
    <w:rsid w:val="7A9E7181"/>
    <w:rsid w:val="7AE30252"/>
    <w:rsid w:val="7B6E40A8"/>
    <w:rsid w:val="7BB75966"/>
    <w:rsid w:val="7C216662"/>
    <w:rsid w:val="7D920127"/>
    <w:rsid w:val="7DA55C93"/>
    <w:rsid w:val="7FD1559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8"/>
    <w:autoRedefine/>
    <w:qFormat/>
    <w:uiPriority w:val="0"/>
    <w:rPr>
      <w:sz w:val="18"/>
      <w:szCs w:val="18"/>
    </w:rPr>
  </w:style>
  <w:style w:type="paragraph" w:styleId="3">
    <w:name w:val="footer"/>
    <w:basedOn w:val="1"/>
    <w:autoRedefine/>
    <w:qFormat/>
    <w:uiPriority w:val="99"/>
    <w:pPr>
      <w:tabs>
        <w:tab w:val="center" w:pos="4153"/>
        <w:tab w:val="right" w:pos="8306"/>
      </w:tabs>
      <w:snapToGrid w:val="0"/>
      <w:jc w:val="left"/>
    </w:pPr>
    <w:rPr>
      <w:sz w:val="18"/>
      <w:szCs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page number"/>
    <w:basedOn w:val="6"/>
    <w:autoRedefine/>
    <w:qFormat/>
    <w:uiPriority w:val="0"/>
  </w:style>
  <w:style w:type="character" w:customStyle="1" w:styleId="8">
    <w:name w:val="批注框文本 Char"/>
    <w:basedOn w:val="6"/>
    <w:link w:val="2"/>
    <w:autoRedefine/>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5</Pages>
  <Words>415</Words>
  <Characters>2371</Characters>
  <Lines>19</Lines>
  <Paragraphs>5</Paragraphs>
  <TotalTime>0</TotalTime>
  <ScaleCrop>false</ScaleCrop>
  <LinksUpToDate>false</LinksUpToDate>
  <CharactersWithSpaces>2781</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2021-05-18T12:54:00Z</dcterms:created>
  <dc:creator>LENOVO</dc:creator>
  <cp:lastModifiedBy>栖园</cp:lastModifiedBy>
  <cp:lastPrinted>2024-03-19T02:29:00Z</cp:lastPrinted>
  <dcterms:modified xsi:type="dcterms:W3CDTF">2024-04-11T08:05:10Z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E42852F4481F4107AA2BC03E2D14B3AA_12</vt:lpwstr>
  </property>
</Properties>
</file>